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96E6" w14:textId="77777777" w:rsidR="00F4188F" w:rsidRPr="0076145E" w:rsidRDefault="146B63F0" w:rsidP="1ED60BB7">
      <w:pPr>
        <w:jc w:val="center"/>
        <w:rPr>
          <w:b/>
          <w:bCs/>
          <w:color w:val="auto"/>
        </w:rPr>
      </w:pPr>
      <w:r w:rsidRPr="1ED60BB7">
        <w:rPr>
          <w:b/>
          <w:bCs/>
          <w:color w:val="auto"/>
        </w:rPr>
        <w:t xml:space="preserve">Biocair calls for life science specialists in logistics </w:t>
      </w:r>
      <w:proofErr w:type="gramStart"/>
      <w:r w:rsidRPr="1ED60BB7">
        <w:rPr>
          <w:b/>
          <w:bCs/>
          <w:color w:val="auto"/>
        </w:rPr>
        <w:t>roles</w:t>
      </w:r>
      <w:proofErr w:type="gramEnd"/>
    </w:p>
    <w:p w14:paraId="0400337B" w14:textId="71A14221" w:rsidR="00F4188F" w:rsidRDefault="146B63F0" w:rsidP="1ED60BB7">
      <w:pPr>
        <w:spacing w:line="276" w:lineRule="auto"/>
        <w:rPr>
          <w:color w:val="auto"/>
        </w:rPr>
      </w:pPr>
      <w:r w:rsidRPr="1ED60BB7">
        <w:rPr>
          <w:color w:val="auto"/>
        </w:rPr>
        <w:t xml:space="preserve">The successful future of logistics in life sciences can only be secured if the right components are in place, according to experts at </w:t>
      </w:r>
      <w:hyperlink r:id="rId8">
        <w:r w:rsidRPr="1ED60BB7">
          <w:rPr>
            <w:rStyle w:val="Hyperlink"/>
            <w:color w:val="auto"/>
          </w:rPr>
          <w:t>Biocair</w:t>
        </w:r>
      </w:hyperlink>
      <w:r w:rsidRPr="1ED60BB7">
        <w:rPr>
          <w:color w:val="auto"/>
        </w:rPr>
        <w:t xml:space="preserve"> – a leading GDP logistics specialist within the pharmaceutical, biotechnology and life sciences sectors. </w:t>
      </w:r>
    </w:p>
    <w:p w14:paraId="4BDE6621" w14:textId="4501D716" w:rsidR="00F4188F" w:rsidRDefault="146B63F0" w:rsidP="1ED60BB7">
      <w:pPr>
        <w:spacing w:line="276" w:lineRule="auto"/>
        <w:rPr>
          <w:color w:val="auto"/>
        </w:rPr>
      </w:pPr>
      <w:r w:rsidRPr="1ED60BB7">
        <w:rPr>
          <w:color w:val="auto"/>
        </w:rPr>
        <w:t xml:space="preserve">During an insightful panel discussion at TCIS Africa 2023, Business Development Manager at Biocair, </w:t>
      </w:r>
      <w:proofErr w:type="spellStart"/>
      <w:r w:rsidRPr="1ED60BB7">
        <w:rPr>
          <w:color w:val="auto"/>
        </w:rPr>
        <w:t>Ellisha</w:t>
      </w:r>
      <w:proofErr w:type="spellEnd"/>
      <w:r w:rsidRPr="1ED60BB7">
        <w:rPr>
          <w:color w:val="auto"/>
        </w:rPr>
        <w:t xml:space="preserve"> Maharaj, discussed the importance of having life science specialists in logistics roles, the need for auditing logistics providers and the importance of having Standard Operating Procedures (SOPs) in place. </w:t>
      </w:r>
    </w:p>
    <w:p w14:paraId="736C17C5" w14:textId="65A740F6" w:rsidR="00F4188F" w:rsidRPr="0076145E" w:rsidRDefault="146B63F0" w:rsidP="1ED60BB7">
      <w:pPr>
        <w:spacing w:line="276" w:lineRule="auto"/>
        <w:rPr>
          <w:color w:val="auto"/>
        </w:rPr>
      </w:pPr>
      <w:r w:rsidRPr="1ED60BB7">
        <w:rPr>
          <w:color w:val="auto"/>
        </w:rPr>
        <w:t xml:space="preserve">Biocair aims to be the most trusted and reliable pharmaceutical, </w:t>
      </w:r>
      <w:proofErr w:type="gramStart"/>
      <w:r w:rsidRPr="1ED60BB7">
        <w:rPr>
          <w:color w:val="auto"/>
        </w:rPr>
        <w:t>biotech</w:t>
      </w:r>
      <w:proofErr w:type="gramEnd"/>
      <w:r w:rsidRPr="1ED60BB7">
        <w:rPr>
          <w:color w:val="auto"/>
        </w:rPr>
        <w:t xml:space="preserve"> and life science logistics provider. The business has delivered excellence in this sector for over 3</w:t>
      </w:r>
      <w:r w:rsidR="7F910EAA" w:rsidRPr="1ED60BB7">
        <w:rPr>
          <w:color w:val="auto"/>
        </w:rPr>
        <w:t>5</w:t>
      </w:r>
      <w:r w:rsidRPr="1ED60BB7">
        <w:rPr>
          <w:color w:val="auto"/>
        </w:rPr>
        <w:t xml:space="preserve"> years. Most recently, the company has invested in </w:t>
      </w:r>
      <w:hyperlink r:id="rId9">
        <w:r w:rsidRPr="1ED60BB7">
          <w:rPr>
            <w:color w:val="auto"/>
          </w:rPr>
          <w:t>cell and gene therapy logistics</w:t>
        </w:r>
      </w:hyperlink>
      <w:r w:rsidRPr="1ED60BB7">
        <w:rPr>
          <w:color w:val="auto"/>
        </w:rPr>
        <w:t xml:space="preserve"> by introducing a team of dedicated specialists to deliver 24-hour global support.  </w:t>
      </w:r>
    </w:p>
    <w:p w14:paraId="5C035C0A" w14:textId="192B8CAF" w:rsidR="00F4188F" w:rsidRPr="0076145E" w:rsidRDefault="146B63F0" w:rsidP="1ED60BB7">
      <w:pPr>
        <w:spacing w:line="276" w:lineRule="auto"/>
        <w:rPr>
          <w:color w:val="auto"/>
        </w:rPr>
      </w:pPr>
      <w:r w:rsidRPr="1ED60BB7">
        <w:rPr>
          <w:color w:val="auto"/>
        </w:rPr>
        <w:t xml:space="preserve">Cell and gene therapy offers patients the complete personalisation of medicine and is a revolutionary way to fight disease. These </w:t>
      </w:r>
      <w:r w:rsidR="005E0098">
        <w:rPr>
          <w:color w:val="auto"/>
        </w:rPr>
        <w:t>time-sensitive</w:t>
      </w:r>
      <w:r w:rsidRPr="1ED60BB7">
        <w:rPr>
          <w:color w:val="auto"/>
        </w:rPr>
        <w:t xml:space="preserve"> and life-changing medicines need logistics solutions as innovative as they are, prompting Biocair to share its </w:t>
      </w:r>
      <w:r w:rsidR="0C2F8E0E" w:rsidRPr="1ED60BB7">
        <w:rPr>
          <w:color w:val="auto"/>
        </w:rPr>
        <w:t xml:space="preserve">expertise and </w:t>
      </w:r>
      <w:r w:rsidRPr="1ED60BB7">
        <w:rPr>
          <w:color w:val="auto"/>
        </w:rPr>
        <w:t>viewpoints on best-in-class life science logistics.  </w:t>
      </w:r>
    </w:p>
    <w:p w14:paraId="71FFF7C0" w14:textId="2C299741" w:rsidR="00F4188F" w:rsidRDefault="146B63F0" w:rsidP="1ED60BB7">
      <w:pPr>
        <w:spacing w:line="276" w:lineRule="auto"/>
        <w:rPr>
          <w:color w:val="auto"/>
        </w:rPr>
      </w:pPr>
      <w:r w:rsidRPr="1ED60BB7">
        <w:rPr>
          <w:color w:val="auto"/>
        </w:rPr>
        <w:t>At TCIS Africa</w:t>
      </w:r>
      <w:r w:rsidR="4FF61170" w:rsidRPr="1ED60BB7">
        <w:rPr>
          <w:color w:val="auto"/>
        </w:rPr>
        <w:t xml:space="preserve"> in Kenya</w:t>
      </w:r>
      <w:r w:rsidRPr="1ED60BB7">
        <w:rPr>
          <w:color w:val="auto"/>
        </w:rPr>
        <w:t xml:space="preserve">, Ms Maharaj challenged those attending from the clinical trials and </w:t>
      </w:r>
      <w:r w:rsidR="0078FEA4" w:rsidRPr="1ED60BB7">
        <w:rPr>
          <w:color w:val="auto"/>
        </w:rPr>
        <w:t>health research</w:t>
      </w:r>
      <w:r w:rsidRPr="1ED60BB7">
        <w:rPr>
          <w:color w:val="auto"/>
        </w:rPr>
        <w:t xml:space="preserve"> sectors to take responsibility for managing vendors correctly with the aim of ensuring the delivery of </w:t>
      </w:r>
      <w:r w:rsidR="3C73FBC7" w:rsidRPr="1ED60BB7">
        <w:rPr>
          <w:color w:val="auto"/>
        </w:rPr>
        <w:t xml:space="preserve">quality </w:t>
      </w:r>
      <w:r w:rsidRPr="1ED60BB7">
        <w:rPr>
          <w:color w:val="auto"/>
        </w:rPr>
        <w:t xml:space="preserve">service provision. She stressed this should be part of the due diligence process, such as ensuring the correct vendors are selected and the overall management of each. </w:t>
      </w:r>
    </w:p>
    <w:p w14:paraId="6F495552" w14:textId="1C4710E6" w:rsidR="00F4188F" w:rsidRDefault="146B63F0" w:rsidP="1ED60BB7">
      <w:pPr>
        <w:spacing w:line="276" w:lineRule="auto"/>
        <w:rPr>
          <w:color w:val="auto"/>
        </w:rPr>
      </w:pPr>
      <w:r w:rsidRPr="1ED60BB7">
        <w:rPr>
          <w:color w:val="auto"/>
        </w:rPr>
        <w:t>T</w:t>
      </w:r>
      <w:r w:rsidR="5F48F016" w:rsidRPr="1ED60BB7">
        <w:rPr>
          <w:color w:val="auto"/>
        </w:rPr>
        <w:t>he due diligence process</w:t>
      </w:r>
      <w:r w:rsidR="48AF6126" w:rsidRPr="1ED60BB7">
        <w:rPr>
          <w:color w:val="auto"/>
        </w:rPr>
        <w:t xml:space="preserve"> should</w:t>
      </w:r>
      <w:r w:rsidRPr="1ED60BB7">
        <w:rPr>
          <w:color w:val="auto"/>
        </w:rPr>
        <w:t xml:space="preserve"> include focusing on areas of accreditation, such as ISO standards, GCP guidelines, the need for documentation and SOPs. Specifically in logistics, this means the requirement of having a life science specialist within logistics roles. And it is key to ensure that if provision has been made, it does not necessarily mean they are the best solution – in some instances, such </w:t>
      </w:r>
      <w:r w:rsidR="5477FB85" w:rsidRPr="1ED60BB7">
        <w:rPr>
          <w:color w:val="auto"/>
        </w:rPr>
        <w:t xml:space="preserve">as </w:t>
      </w:r>
      <w:r w:rsidRPr="1ED60BB7">
        <w:rPr>
          <w:color w:val="auto"/>
        </w:rPr>
        <w:t xml:space="preserve">in </w:t>
      </w:r>
      <w:r w:rsidR="005E0098">
        <w:rPr>
          <w:color w:val="auto"/>
        </w:rPr>
        <w:t>resource-limited</w:t>
      </w:r>
      <w:r w:rsidRPr="1ED60BB7">
        <w:rPr>
          <w:color w:val="auto"/>
        </w:rPr>
        <w:t xml:space="preserve"> countries, they are the only solution. </w:t>
      </w:r>
    </w:p>
    <w:p w14:paraId="224852B6" w14:textId="29AA36CA" w:rsidR="00F4188F" w:rsidRDefault="146B63F0" w:rsidP="1ED60BB7">
      <w:pPr>
        <w:spacing w:line="276" w:lineRule="auto"/>
        <w:rPr>
          <w:color w:val="auto"/>
        </w:rPr>
      </w:pPr>
      <w:r w:rsidRPr="1ED60BB7">
        <w:rPr>
          <w:color w:val="auto"/>
        </w:rPr>
        <w:t xml:space="preserve">Biocair believes that not having a life science specialist in logistics roles is a real concern. By having a specialist in place, </w:t>
      </w:r>
      <w:r w:rsidR="5DE5ED7E" w:rsidRPr="1ED60BB7">
        <w:rPr>
          <w:color w:val="auto"/>
        </w:rPr>
        <w:t xml:space="preserve">robust </w:t>
      </w:r>
      <w:r w:rsidRPr="1ED60BB7">
        <w:rPr>
          <w:color w:val="auto"/>
        </w:rPr>
        <w:t xml:space="preserve">solutions </w:t>
      </w:r>
      <w:r w:rsidR="402835DF" w:rsidRPr="1ED60BB7">
        <w:rPr>
          <w:color w:val="auto"/>
        </w:rPr>
        <w:t xml:space="preserve">for clinical trial shipments, </w:t>
      </w:r>
      <w:r w:rsidRPr="1ED60BB7">
        <w:rPr>
          <w:color w:val="auto"/>
        </w:rPr>
        <w:t xml:space="preserve">performing </w:t>
      </w:r>
      <w:r w:rsidR="7E3F2E0C" w:rsidRPr="1ED60BB7">
        <w:rPr>
          <w:color w:val="auto"/>
        </w:rPr>
        <w:t xml:space="preserve">to </w:t>
      </w:r>
      <w:r w:rsidRPr="1ED60BB7">
        <w:rPr>
          <w:color w:val="auto"/>
        </w:rPr>
        <w:t>audit</w:t>
      </w:r>
      <w:r w:rsidR="6CF3333F" w:rsidRPr="1ED60BB7">
        <w:rPr>
          <w:color w:val="auto"/>
        </w:rPr>
        <w:t>able quality standards</w:t>
      </w:r>
      <w:r w:rsidRPr="1ED60BB7">
        <w:rPr>
          <w:color w:val="auto"/>
        </w:rPr>
        <w:t xml:space="preserve"> and qualifying what service provision is</w:t>
      </w:r>
      <w:r w:rsidR="46AEE545" w:rsidRPr="1ED60BB7">
        <w:rPr>
          <w:color w:val="auto"/>
        </w:rPr>
        <w:t>,</w:t>
      </w:r>
      <w:r w:rsidR="0D1DB9BA" w:rsidRPr="1ED60BB7">
        <w:rPr>
          <w:color w:val="auto"/>
        </w:rPr>
        <w:t xml:space="preserve"> will</w:t>
      </w:r>
      <w:r w:rsidRPr="1ED60BB7">
        <w:rPr>
          <w:color w:val="auto"/>
        </w:rPr>
        <w:t xml:space="preserve"> be </w:t>
      </w:r>
      <w:r w:rsidR="2EB07C4F" w:rsidRPr="1ED60BB7">
        <w:rPr>
          <w:color w:val="auto"/>
        </w:rPr>
        <w:t>achieved.</w:t>
      </w:r>
    </w:p>
    <w:p w14:paraId="67C5CF4C" w14:textId="4D044D50" w:rsidR="00F4188F" w:rsidRDefault="146B63F0" w:rsidP="1ED60BB7">
      <w:pPr>
        <w:spacing w:line="276" w:lineRule="auto"/>
        <w:rPr>
          <w:color w:val="auto"/>
        </w:rPr>
      </w:pPr>
      <w:r w:rsidRPr="1ED60BB7">
        <w:rPr>
          <w:color w:val="auto"/>
        </w:rPr>
        <w:t xml:space="preserve">Commenting on how this should be performed, Ms Maharaj said: “Specialists should not be afraid to ask key questions about </w:t>
      </w:r>
      <w:r w:rsidR="1E01E3DB" w:rsidRPr="1ED60BB7">
        <w:rPr>
          <w:color w:val="auto"/>
        </w:rPr>
        <w:t xml:space="preserve">SOPs </w:t>
      </w:r>
      <w:r w:rsidRPr="1ED60BB7">
        <w:rPr>
          <w:color w:val="auto"/>
        </w:rPr>
        <w:t xml:space="preserve">and training. They need to confirm what the roles and responsibilities of service providers are, and how they can </w:t>
      </w:r>
      <w:r w:rsidR="69468A41" w:rsidRPr="1ED60BB7">
        <w:rPr>
          <w:color w:val="auto"/>
        </w:rPr>
        <w:t>fulfil</w:t>
      </w:r>
      <w:r w:rsidR="103312F3" w:rsidRPr="1ED60BB7">
        <w:rPr>
          <w:color w:val="auto"/>
        </w:rPr>
        <w:t xml:space="preserve"> and </w:t>
      </w:r>
      <w:r w:rsidRPr="1ED60BB7">
        <w:rPr>
          <w:color w:val="auto"/>
        </w:rPr>
        <w:t xml:space="preserve">deliver </w:t>
      </w:r>
      <w:r w:rsidR="3B076A95" w:rsidRPr="1ED60BB7">
        <w:rPr>
          <w:color w:val="auto"/>
        </w:rPr>
        <w:t xml:space="preserve">on </w:t>
      </w:r>
      <w:r w:rsidR="6744E421" w:rsidRPr="1ED60BB7">
        <w:rPr>
          <w:color w:val="auto"/>
        </w:rPr>
        <w:t>the supply</w:t>
      </w:r>
      <w:r w:rsidRPr="1ED60BB7">
        <w:rPr>
          <w:color w:val="auto"/>
        </w:rPr>
        <w:t xml:space="preserve"> chain responsibility for clinical trials. </w:t>
      </w:r>
    </w:p>
    <w:p w14:paraId="0663C0AB" w14:textId="6AF3DACF" w:rsidR="00F4188F" w:rsidRDefault="146B63F0" w:rsidP="1ED60BB7">
      <w:pPr>
        <w:spacing w:line="276" w:lineRule="auto"/>
        <w:rPr>
          <w:color w:val="auto"/>
        </w:rPr>
      </w:pPr>
      <w:r w:rsidRPr="1ED60BB7">
        <w:rPr>
          <w:color w:val="auto"/>
        </w:rPr>
        <w:t>“This is paramount to ensuring the success and conduct of clinical trials. Without robust supply chain management plans and good vendor oversight such as SOPs, we</w:t>
      </w:r>
      <w:r w:rsidR="18958CF8" w:rsidRPr="1ED60BB7">
        <w:rPr>
          <w:color w:val="auto"/>
        </w:rPr>
        <w:t xml:space="preserve"> a</w:t>
      </w:r>
      <w:r w:rsidRPr="1ED60BB7">
        <w:rPr>
          <w:color w:val="auto"/>
        </w:rPr>
        <w:t>re doing our clinical trials an injustice by not making sure that we are attending to some of those key areas</w:t>
      </w:r>
      <w:r w:rsidR="107A2505" w:rsidRPr="1ED60BB7">
        <w:rPr>
          <w:color w:val="auto"/>
        </w:rPr>
        <w:t xml:space="preserve"> which may direct</w:t>
      </w:r>
      <w:r w:rsidR="78A86F6F" w:rsidRPr="1ED60BB7">
        <w:rPr>
          <w:color w:val="auto"/>
        </w:rPr>
        <w:t>ly</w:t>
      </w:r>
      <w:r w:rsidR="107A2505" w:rsidRPr="1ED60BB7">
        <w:rPr>
          <w:color w:val="auto"/>
        </w:rPr>
        <w:t xml:space="preserve"> impact data outcomes</w:t>
      </w:r>
      <w:r w:rsidRPr="1ED60BB7">
        <w:rPr>
          <w:color w:val="auto"/>
        </w:rPr>
        <w:t>.”</w:t>
      </w:r>
    </w:p>
    <w:p w14:paraId="14538526" w14:textId="74B03518" w:rsidR="00F4188F" w:rsidRDefault="146B63F0" w:rsidP="1ED60BB7">
      <w:pPr>
        <w:rPr>
          <w:color w:val="auto"/>
        </w:rPr>
      </w:pPr>
      <w:r w:rsidRPr="1ED60BB7">
        <w:rPr>
          <w:color w:val="auto"/>
        </w:rPr>
        <w:t xml:space="preserve">During the roundtable session, Ms Maharaj referred to one of the developments currently underway for customs in Africa which is the development of a framework structure looking at the customs regulations in each country across the region, including South Africa. </w:t>
      </w:r>
    </w:p>
    <w:p w14:paraId="08575980" w14:textId="74D5FE3C" w:rsidR="00F4188F" w:rsidRDefault="146B63F0" w:rsidP="1ED60BB7">
      <w:pPr>
        <w:rPr>
          <w:color w:val="auto"/>
        </w:rPr>
      </w:pPr>
      <w:r w:rsidRPr="1ED60BB7">
        <w:rPr>
          <w:color w:val="auto"/>
        </w:rPr>
        <w:t xml:space="preserve">For instance, the supply of dry ice </w:t>
      </w:r>
      <w:r w:rsidR="51FA382D" w:rsidRPr="1ED60BB7">
        <w:rPr>
          <w:color w:val="auto"/>
        </w:rPr>
        <w:t xml:space="preserve">in some </w:t>
      </w:r>
      <w:r w:rsidR="5DB4BEAF" w:rsidRPr="1ED60BB7">
        <w:rPr>
          <w:color w:val="auto"/>
        </w:rPr>
        <w:t xml:space="preserve">African </w:t>
      </w:r>
      <w:r w:rsidRPr="1ED60BB7">
        <w:rPr>
          <w:color w:val="auto"/>
        </w:rPr>
        <w:t>countr</w:t>
      </w:r>
      <w:r w:rsidR="4C05B37A" w:rsidRPr="1ED60BB7">
        <w:rPr>
          <w:color w:val="auto"/>
        </w:rPr>
        <w:t>ies</w:t>
      </w:r>
      <w:r w:rsidRPr="1ED60BB7">
        <w:rPr>
          <w:color w:val="auto"/>
        </w:rPr>
        <w:t xml:space="preserve"> has been a huge issue. Although it is </w:t>
      </w:r>
      <w:r w:rsidR="05CC02F1" w:rsidRPr="1ED60BB7">
        <w:rPr>
          <w:color w:val="auto"/>
        </w:rPr>
        <w:t>possible</w:t>
      </w:r>
      <w:r w:rsidRPr="1ED60BB7">
        <w:rPr>
          <w:color w:val="auto"/>
        </w:rPr>
        <w:t xml:space="preserve"> to </w:t>
      </w:r>
      <w:r w:rsidR="227B25D4" w:rsidRPr="1ED60BB7">
        <w:rPr>
          <w:color w:val="auto"/>
        </w:rPr>
        <w:t>provision</w:t>
      </w:r>
      <w:r w:rsidRPr="1ED60BB7">
        <w:rPr>
          <w:color w:val="auto"/>
        </w:rPr>
        <w:t xml:space="preserve">, there are </w:t>
      </w:r>
      <w:r w:rsidR="7D38804D" w:rsidRPr="1ED60BB7">
        <w:rPr>
          <w:color w:val="auto"/>
        </w:rPr>
        <w:t>countries</w:t>
      </w:r>
      <w:r w:rsidRPr="1ED60BB7">
        <w:rPr>
          <w:color w:val="auto"/>
        </w:rPr>
        <w:t xml:space="preserve"> where it</w:t>
      </w:r>
      <w:r w:rsidR="584851B9" w:rsidRPr="1ED60BB7">
        <w:rPr>
          <w:color w:val="auto"/>
        </w:rPr>
        <w:t xml:space="preserve"> i</w:t>
      </w:r>
      <w:r w:rsidRPr="1ED60BB7">
        <w:rPr>
          <w:color w:val="auto"/>
        </w:rPr>
        <w:t xml:space="preserve">s more expensive to manufacture, resulting </w:t>
      </w:r>
      <w:r w:rsidR="4DEBD474" w:rsidRPr="1ED60BB7">
        <w:rPr>
          <w:color w:val="auto"/>
        </w:rPr>
        <w:t xml:space="preserve">in </w:t>
      </w:r>
      <w:r w:rsidR="7907FC00" w:rsidRPr="1ED60BB7">
        <w:rPr>
          <w:color w:val="auto"/>
        </w:rPr>
        <w:t xml:space="preserve">increased </w:t>
      </w:r>
      <w:r w:rsidR="4DEBD474" w:rsidRPr="1ED60BB7">
        <w:rPr>
          <w:color w:val="auto"/>
        </w:rPr>
        <w:t>dry</w:t>
      </w:r>
      <w:r w:rsidR="3616C3EC" w:rsidRPr="1ED60BB7">
        <w:rPr>
          <w:color w:val="auto"/>
        </w:rPr>
        <w:t xml:space="preserve"> ice placement </w:t>
      </w:r>
      <w:r w:rsidRPr="1ED60BB7">
        <w:rPr>
          <w:color w:val="auto"/>
        </w:rPr>
        <w:t>cost</w:t>
      </w:r>
      <w:r w:rsidR="652B9F84" w:rsidRPr="1ED60BB7">
        <w:rPr>
          <w:color w:val="auto"/>
        </w:rPr>
        <w:t>s</w:t>
      </w:r>
      <w:r w:rsidRPr="1ED60BB7">
        <w:rPr>
          <w:color w:val="auto"/>
        </w:rPr>
        <w:t xml:space="preserve"> </w:t>
      </w:r>
      <w:r w:rsidR="1D451755" w:rsidRPr="1ED60BB7">
        <w:rPr>
          <w:color w:val="auto"/>
        </w:rPr>
        <w:t xml:space="preserve">which need to be </w:t>
      </w:r>
      <w:r w:rsidRPr="1ED60BB7">
        <w:rPr>
          <w:color w:val="auto"/>
        </w:rPr>
        <w:t xml:space="preserve">budgeted for upfront. </w:t>
      </w:r>
    </w:p>
    <w:p w14:paraId="223A5DB3" w14:textId="24DF1D3C" w:rsidR="00F4188F" w:rsidRPr="007F6178" w:rsidRDefault="146B63F0" w:rsidP="1ED60BB7">
      <w:pPr>
        <w:rPr>
          <w:color w:val="auto"/>
        </w:rPr>
      </w:pPr>
      <w:r w:rsidRPr="1ED60BB7">
        <w:rPr>
          <w:color w:val="auto"/>
        </w:rPr>
        <w:t xml:space="preserve">Biocair is one specialist </w:t>
      </w:r>
      <w:bookmarkStart w:id="0" w:name="_Int_swRTq5At"/>
      <w:r w:rsidRPr="1ED60BB7">
        <w:rPr>
          <w:color w:val="auto"/>
        </w:rPr>
        <w:t>logistics</w:t>
      </w:r>
      <w:bookmarkEnd w:id="0"/>
      <w:r w:rsidRPr="1ED60BB7">
        <w:rPr>
          <w:color w:val="auto"/>
        </w:rPr>
        <w:t xml:space="preserve"> provider that can provide this extra level of support. It can deliver local knowledge around costs as it has insights into the budget required for the supply of validated packaging and the length of time </w:t>
      </w:r>
      <w:r w:rsidR="23857996" w:rsidRPr="1ED60BB7">
        <w:rPr>
          <w:color w:val="auto"/>
        </w:rPr>
        <w:lastRenderedPageBreak/>
        <w:t>packaging</w:t>
      </w:r>
      <w:r w:rsidR="0EA95C47" w:rsidRPr="1ED60BB7">
        <w:rPr>
          <w:color w:val="auto"/>
        </w:rPr>
        <w:t xml:space="preserve"> w</w:t>
      </w:r>
      <w:r w:rsidRPr="1ED60BB7">
        <w:rPr>
          <w:color w:val="auto"/>
        </w:rPr>
        <w:t xml:space="preserve">ill last. Further insights can also be given on the best solution for shipments, such as cost-effective </w:t>
      </w:r>
      <w:r w:rsidR="047943B5" w:rsidRPr="1ED60BB7">
        <w:rPr>
          <w:color w:val="auto"/>
        </w:rPr>
        <w:t>routing</w:t>
      </w:r>
      <w:r w:rsidR="1047A205" w:rsidRPr="1ED60BB7">
        <w:rPr>
          <w:color w:val="auto"/>
        </w:rPr>
        <w:t xml:space="preserve"> and customs clearance procedures</w:t>
      </w:r>
      <w:r w:rsidRPr="1ED60BB7">
        <w:rPr>
          <w:color w:val="auto"/>
        </w:rPr>
        <w:t xml:space="preserve">. </w:t>
      </w:r>
    </w:p>
    <w:p w14:paraId="36C13817" w14:textId="6CCF4E30" w:rsidR="00F4188F" w:rsidRPr="00F4188F" w:rsidRDefault="146B63F0" w:rsidP="1ED60BB7">
      <w:pPr>
        <w:rPr>
          <w:color w:val="auto"/>
        </w:rPr>
      </w:pPr>
      <w:r w:rsidRPr="1ED60BB7">
        <w:rPr>
          <w:color w:val="auto"/>
        </w:rPr>
        <w:t xml:space="preserve">Biocair operates a ‘wheels up’ approach to global logistics, whereby before a shipment arrives in a country, the preclearance is provided to mitigate delays at customs. In addition, </w:t>
      </w:r>
      <w:r w:rsidR="7A95DA38" w:rsidRPr="1ED60BB7">
        <w:rPr>
          <w:color w:val="auto"/>
        </w:rPr>
        <w:t xml:space="preserve">extensive </w:t>
      </w:r>
      <w:r w:rsidRPr="1ED60BB7">
        <w:rPr>
          <w:color w:val="auto"/>
        </w:rPr>
        <w:t>cold chain</w:t>
      </w:r>
      <w:r w:rsidR="2FBE9DB0" w:rsidRPr="1ED60BB7">
        <w:rPr>
          <w:color w:val="auto"/>
        </w:rPr>
        <w:t xml:space="preserve"> and route</w:t>
      </w:r>
      <w:r w:rsidRPr="1ED60BB7">
        <w:rPr>
          <w:color w:val="auto"/>
        </w:rPr>
        <w:t xml:space="preserve"> planning</w:t>
      </w:r>
      <w:r w:rsidR="042B42A8" w:rsidRPr="1ED60BB7">
        <w:rPr>
          <w:color w:val="auto"/>
        </w:rPr>
        <w:t xml:space="preserve"> </w:t>
      </w:r>
      <w:r w:rsidRPr="1ED60BB7">
        <w:rPr>
          <w:color w:val="auto"/>
        </w:rPr>
        <w:t xml:space="preserve">need to be in place to manage </w:t>
      </w:r>
      <w:r w:rsidR="3720D80F" w:rsidRPr="1ED60BB7">
        <w:rPr>
          <w:color w:val="auto"/>
        </w:rPr>
        <w:t xml:space="preserve">possible </w:t>
      </w:r>
      <w:r w:rsidR="4EA08611" w:rsidRPr="1ED60BB7">
        <w:rPr>
          <w:color w:val="auto"/>
        </w:rPr>
        <w:t>temperature excursions</w:t>
      </w:r>
      <w:r w:rsidR="10C2CE11" w:rsidRPr="1ED60BB7">
        <w:rPr>
          <w:color w:val="auto"/>
        </w:rPr>
        <w:t xml:space="preserve"> </w:t>
      </w:r>
      <w:r w:rsidR="18B4EE96" w:rsidRPr="1ED60BB7">
        <w:rPr>
          <w:color w:val="auto"/>
        </w:rPr>
        <w:t>using</w:t>
      </w:r>
      <w:r w:rsidR="272FDC49" w:rsidRPr="1ED60BB7">
        <w:rPr>
          <w:color w:val="auto"/>
        </w:rPr>
        <w:t xml:space="preserve"> the </w:t>
      </w:r>
      <w:r w:rsidRPr="1ED60BB7">
        <w:rPr>
          <w:color w:val="auto"/>
        </w:rPr>
        <w:t>correct</w:t>
      </w:r>
      <w:r w:rsidR="4C89DC2E" w:rsidRPr="1ED60BB7">
        <w:rPr>
          <w:color w:val="auto"/>
        </w:rPr>
        <w:t>,</w:t>
      </w:r>
      <w:r w:rsidRPr="1ED60BB7">
        <w:rPr>
          <w:color w:val="auto"/>
        </w:rPr>
        <w:t xml:space="preserve"> validated packaging.</w:t>
      </w:r>
    </w:p>
    <w:p w14:paraId="447AC4AF" w14:textId="70C1D652" w:rsidR="00F4188F" w:rsidRPr="00F4188F" w:rsidRDefault="146B63F0" w:rsidP="1ED60BB7">
      <w:pPr>
        <w:rPr>
          <w:color w:val="auto"/>
        </w:rPr>
      </w:pPr>
      <w:r w:rsidRPr="1ED60BB7">
        <w:rPr>
          <w:color w:val="auto"/>
        </w:rPr>
        <w:t xml:space="preserve">Finally, </w:t>
      </w:r>
      <w:r w:rsidR="255D0231" w:rsidRPr="1ED60BB7">
        <w:rPr>
          <w:color w:val="auto"/>
        </w:rPr>
        <w:t xml:space="preserve">on-site </w:t>
      </w:r>
      <w:r w:rsidRPr="1ED60BB7">
        <w:rPr>
          <w:color w:val="auto"/>
        </w:rPr>
        <w:t>training</w:t>
      </w:r>
      <w:r w:rsidR="188D3203" w:rsidRPr="1ED60BB7">
        <w:rPr>
          <w:color w:val="auto"/>
        </w:rPr>
        <w:t xml:space="preserve"> with an in-country presence</w:t>
      </w:r>
      <w:r w:rsidRPr="1ED60BB7">
        <w:rPr>
          <w:color w:val="auto"/>
        </w:rPr>
        <w:t xml:space="preserve"> </w:t>
      </w:r>
      <w:r w:rsidR="07630701" w:rsidRPr="1ED60BB7">
        <w:rPr>
          <w:color w:val="auto"/>
        </w:rPr>
        <w:t xml:space="preserve">is vital in </w:t>
      </w:r>
      <w:r w:rsidRPr="1ED60BB7">
        <w:rPr>
          <w:color w:val="auto"/>
        </w:rPr>
        <w:t>ensuring couriers understand what they are handling</w:t>
      </w:r>
      <w:r w:rsidR="1EF3C867" w:rsidRPr="1ED60BB7">
        <w:rPr>
          <w:color w:val="auto"/>
        </w:rPr>
        <w:t xml:space="preserve"> </w:t>
      </w:r>
      <w:r w:rsidRPr="1ED60BB7">
        <w:rPr>
          <w:color w:val="auto"/>
        </w:rPr>
        <w:t xml:space="preserve">and what needs to be implemented if issues arise. This is vital if there is a spill </w:t>
      </w:r>
      <w:r w:rsidR="64250095" w:rsidRPr="1ED60BB7">
        <w:rPr>
          <w:color w:val="auto"/>
        </w:rPr>
        <w:t>which may</w:t>
      </w:r>
      <w:r w:rsidRPr="1ED60BB7">
        <w:rPr>
          <w:color w:val="auto"/>
        </w:rPr>
        <w:t xml:space="preserve"> impact safety, particularly</w:t>
      </w:r>
      <w:r w:rsidR="1627CDA7" w:rsidRPr="1ED60BB7">
        <w:rPr>
          <w:color w:val="auto"/>
        </w:rPr>
        <w:t xml:space="preserve"> </w:t>
      </w:r>
      <w:r w:rsidRPr="1ED60BB7">
        <w:rPr>
          <w:color w:val="auto"/>
        </w:rPr>
        <w:t>related to biologicals class</w:t>
      </w:r>
      <w:r w:rsidR="61743CF9" w:rsidRPr="1ED60BB7">
        <w:rPr>
          <w:color w:val="auto"/>
        </w:rPr>
        <w:t>ified</w:t>
      </w:r>
      <w:r w:rsidRPr="1ED60BB7">
        <w:rPr>
          <w:color w:val="auto"/>
        </w:rPr>
        <w:t xml:space="preserve"> as infectious or </w:t>
      </w:r>
      <w:r w:rsidR="17405573" w:rsidRPr="1ED60BB7">
        <w:rPr>
          <w:color w:val="auto"/>
        </w:rPr>
        <w:t>hazardous</w:t>
      </w:r>
      <w:r w:rsidRPr="1ED60BB7">
        <w:rPr>
          <w:color w:val="auto"/>
        </w:rPr>
        <w:t>.</w:t>
      </w:r>
    </w:p>
    <w:p w14:paraId="34D851E7" w14:textId="27CA42A0" w:rsidR="00F4188F" w:rsidRPr="00F4188F" w:rsidRDefault="0721C058" w:rsidP="1ED60BB7">
      <w:pPr>
        <w:rPr>
          <w:color w:val="auto"/>
        </w:rPr>
      </w:pPr>
      <w:r w:rsidRPr="1ED60BB7">
        <w:rPr>
          <w:color w:val="auto"/>
        </w:rPr>
        <w:t>For more information</w:t>
      </w:r>
      <w:r w:rsidR="146B63F0" w:rsidRPr="1ED60BB7">
        <w:rPr>
          <w:color w:val="auto"/>
        </w:rPr>
        <w:t xml:space="preserve"> about Biocair, visit </w:t>
      </w:r>
      <w:hyperlink r:id="rId10">
        <w:r w:rsidR="79F11ACF" w:rsidRPr="1ED60BB7">
          <w:rPr>
            <w:color w:val="auto"/>
          </w:rPr>
          <w:t>www.biocair.com.</w:t>
        </w:r>
      </w:hyperlink>
      <w:r w:rsidR="79F11ACF" w:rsidRPr="1ED60BB7">
        <w:rPr>
          <w:color w:val="auto"/>
        </w:rPr>
        <w:t xml:space="preserve"> </w:t>
      </w:r>
    </w:p>
    <w:p w14:paraId="2436722D" w14:textId="36663069" w:rsidR="00F65F29" w:rsidRDefault="00F65F29" w:rsidP="006F0AC3">
      <w:pPr>
        <w:rPr>
          <w:rFonts w:ascii="Arial" w:eastAsia="Arial" w:hAnsi="Arial" w:cs="Arial"/>
          <w:color w:val="414042" w:themeColor="accent4"/>
        </w:rPr>
      </w:pPr>
    </w:p>
    <w:p w14:paraId="29E33B36" w14:textId="1ED4EF7E" w:rsidR="006A6F08" w:rsidRPr="002738D5" w:rsidRDefault="006A6F08" w:rsidP="006A6F08">
      <w:pPr>
        <w:jc w:val="both"/>
        <w:rPr>
          <w:sz w:val="22"/>
          <w:szCs w:val="22"/>
        </w:rPr>
      </w:pPr>
      <w:r w:rsidRPr="002738D5">
        <w:rPr>
          <w:b/>
        </w:rPr>
        <w:t>About Biocair</w:t>
      </w:r>
    </w:p>
    <w:p w14:paraId="38FDDEAE" w14:textId="1254EDD1" w:rsidR="006A6F08" w:rsidRPr="00DB2BA4" w:rsidRDefault="006A6F08" w:rsidP="00E366DB">
      <w:pPr>
        <w:pStyle w:val="DPDBodyText"/>
      </w:pPr>
      <w:r>
        <w:t xml:space="preserve">Since 1986, Biocair has established a global reputation as a leading GDP </w:t>
      </w:r>
      <w:bookmarkStart w:id="1" w:name="_Int_aR8TnKYF"/>
      <w:r>
        <w:t>logistics</w:t>
      </w:r>
      <w:bookmarkEnd w:id="1"/>
      <w:r>
        <w:t xml:space="preserve"> specialist within the pharmaceutical, biotechnology and life sciences sectors. Biocair has built up a unique, client-centric approach by employing scientists in front-line </w:t>
      </w:r>
      <w:bookmarkStart w:id="2" w:name="_Int_LsaeOFuq"/>
      <w:r>
        <w:t>logistics</w:t>
      </w:r>
      <w:bookmarkEnd w:id="2"/>
      <w:r>
        <w:t xml:space="preserve"> positions and assembling a team of best-in-class industry experts in quality, cold </w:t>
      </w:r>
      <w:proofErr w:type="gramStart"/>
      <w:r>
        <w:t>chain</w:t>
      </w:r>
      <w:proofErr w:type="gramEnd"/>
      <w:r>
        <w:t xml:space="preserve"> and regulatory compliance. Biocair focuses on providing the most comprehensive time-sensitive and temperature-controlled </w:t>
      </w:r>
      <w:bookmarkStart w:id="3" w:name="_Int_x3YJ2qBE"/>
      <w:r>
        <w:t>logistics</w:t>
      </w:r>
      <w:bookmarkEnd w:id="3"/>
      <w:r>
        <w:t xml:space="preserve"> services available whilst delivering flexible, tailored, cost-effective solutions to all its clients. It is committed to delivering complete end-to-end </w:t>
      </w:r>
      <w:bookmarkStart w:id="4" w:name="_Int_mLyDI8kn"/>
      <w:r>
        <w:t>logistics</w:t>
      </w:r>
      <w:bookmarkEnd w:id="4"/>
      <w:r>
        <w:t xml:space="preserve"> solutions through its 24/7 operation and global network spanning across Europe, Africa, </w:t>
      </w:r>
      <w:proofErr w:type="gramStart"/>
      <w:r>
        <w:t>Asia</w:t>
      </w:r>
      <w:proofErr w:type="gramEnd"/>
      <w:r>
        <w:t xml:space="preserve"> and the Americas.</w:t>
      </w:r>
    </w:p>
    <w:p w14:paraId="0B278797" w14:textId="5F341E2D" w:rsidR="006A6F08" w:rsidRPr="00DB2BA4" w:rsidRDefault="006A6F08" w:rsidP="00E366DB">
      <w:pPr>
        <w:pStyle w:val="DPDBodyText"/>
      </w:pPr>
      <w:r>
        <w:t xml:space="preserve">Biocair employs over 600 people worldwide and provides specialist </w:t>
      </w:r>
      <w:bookmarkStart w:id="5" w:name="_Int_bpVpEusQ"/>
      <w:r>
        <w:t>logistics</w:t>
      </w:r>
      <w:bookmarkEnd w:id="5"/>
      <w:r>
        <w:t xml:space="preserve"> services to more than 160 countries through a global network of partners. Biocair’s offices </w:t>
      </w:r>
      <w:proofErr w:type="gramStart"/>
      <w:r>
        <w:t>are located in</w:t>
      </w:r>
      <w:proofErr w:type="gramEnd"/>
      <w:r>
        <w:t xml:space="preserve"> the UK, France, Belgium, Germany, USA, South Africa, China, Singapore and India. </w:t>
      </w:r>
    </w:p>
    <w:p w14:paraId="6170F6A6" w14:textId="6D76877A" w:rsidR="006A6F08" w:rsidRPr="00DB2BA4" w:rsidRDefault="006A6F08" w:rsidP="00E366DB">
      <w:pPr>
        <w:pStyle w:val="DPDBodyText"/>
      </w:pPr>
      <w:r w:rsidRPr="00DB2BA4">
        <w:t xml:space="preserve">In 2012 Biocair was acquired as an autonomous division by </w:t>
      </w:r>
      <w:proofErr w:type="spellStart"/>
      <w:r w:rsidRPr="00DB2BA4">
        <w:t>Geopost</w:t>
      </w:r>
      <w:proofErr w:type="spellEnd"/>
      <w:r w:rsidRPr="00DB2BA4">
        <w:t xml:space="preserve">. </w:t>
      </w:r>
      <w:proofErr w:type="spellStart"/>
      <w:r w:rsidRPr="00DB2BA4">
        <w:t>Geopost</w:t>
      </w:r>
      <w:proofErr w:type="spellEnd"/>
      <w:r w:rsidRPr="00DB2BA4">
        <w:t xml:space="preserve"> is the largest parcel delivery network in Europe, which posted sales of €15.6 billion in 2022. </w:t>
      </w:r>
      <w:proofErr w:type="spellStart"/>
      <w:r w:rsidRPr="00DB2BA4">
        <w:t>Geopost</w:t>
      </w:r>
      <w:proofErr w:type="spellEnd"/>
      <w:r w:rsidRPr="00DB2BA4">
        <w:t xml:space="preserve"> is a holding company owned by Groupe La Poste.</w:t>
      </w:r>
    </w:p>
    <w:p w14:paraId="0666AA71" w14:textId="77383912" w:rsidR="006A6F08" w:rsidRPr="00DB2BA4" w:rsidRDefault="006A6F08" w:rsidP="00E366DB">
      <w:pPr>
        <w:pStyle w:val="DPDBodyText"/>
      </w:pPr>
      <w:r w:rsidRPr="00DB2BA4">
        <w:t xml:space="preserve">For further information on Biocair, please visit </w:t>
      </w:r>
      <w:hyperlink r:id="rId11" w:history="1">
        <w:r w:rsidRPr="00DB2BA4">
          <w:rPr>
            <w:rStyle w:val="Hyperlink"/>
            <w:rFonts w:asciiTheme="minorHAnsi" w:hAnsiTheme="minorHAnsi" w:cstheme="minorHAnsi"/>
          </w:rPr>
          <w:t>www.biocair.com</w:t>
        </w:r>
      </w:hyperlink>
      <w:r w:rsidRPr="00DB2BA4">
        <w:t xml:space="preserve">. </w:t>
      </w:r>
    </w:p>
    <w:p w14:paraId="2BA552D8" w14:textId="77777777" w:rsidR="006A6F08" w:rsidRPr="00DB2BA4" w:rsidRDefault="006A6F08" w:rsidP="00E366DB">
      <w:pPr>
        <w:pStyle w:val="DPDBodyText"/>
      </w:pPr>
      <w:r w:rsidRPr="00DB2BA4">
        <w:t>For more information please contact:</w:t>
      </w:r>
    </w:p>
    <w:p w14:paraId="0067FF3D" w14:textId="77777777" w:rsidR="006A6F08" w:rsidRPr="00DB2BA4" w:rsidRDefault="006A6F08" w:rsidP="00E366DB">
      <w:pPr>
        <w:pStyle w:val="DPDBodyText"/>
      </w:pPr>
    </w:p>
    <w:p w14:paraId="30B787AD" w14:textId="012CABAE" w:rsidR="006A6F08" w:rsidRPr="00DB2BA4" w:rsidRDefault="00DB2BA4" w:rsidP="00E366DB">
      <w:pPr>
        <w:pStyle w:val="DPDBodyText"/>
      </w:pPr>
      <w:r w:rsidRPr="002738D5">
        <w:rPr>
          <w:rFonts w:asciiTheme="majorHAnsi" w:hAnsiTheme="majorHAnsi"/>
          <w:b/>
          <w:bCs/>
        </w:rPr>
        <w:t>Allison Averitt</w:t>
      </w:r>
      <w:r w:rsidR="006A6F08" w:rsidRPr="002738D5">
        <w:rPr>
          <w:rFonts w:asciiTheme="majorHAnsi" w:hAnsiTheme="majorHAnsi"/>
        </w:rPr>
        <w:tab/>
      </w:r>
      <w:r w:rsidR="006A6F08" w:rsidRPr="00DB2BA4">
        <w:tab/>
      </w:r>
      <w:r w:rsidR="006A6F08" w:rsidRPr="00DB2BA4">
        <w:tab/>
      </w:r>
      <w:r w:rsidR="006A6F08" w:rsidRPr="00DB2BA4">
        <w:tab/>
      </w:r>
      <w:r w:rsidR="006A6F08" w:rsidRPr="002738D5">
        <w:rPr>
          <w:rFonts w:asciiTheme="majorHAnsi" w:hAnsiTheme="majorHAnsi"/>
          <w:b/>
          <w:bCs/>
        </w:rPr>
        <w:t>Katie Ford</w:t>
      </w:r>
      <w:r w:rsidR="006A6F08" w:rsidRPr="00DB2BA4">
        <w:tab/>
      </w:r>
      <w:r w:rsidR="006A6F08" w:rsidRPr="00DB2BA4">
        <w:tab/>
      </w:r>
      <w:r w:rsidR="006A6F08" w:rsidRPr="00DB2BA4">
        <w:tab/>
      </w:r>
      <w:r w:rsidR="006A6F08" w:rsidRPr="00DB2BA4">
        <w:tab/>
      </w:r>
      <w:r w:rsidR="006A6F08" w:rsidRPr="00DB2BA4">
        <w:tab/>
      </w:r>
    </w:p>
    <w:p w14:paraId="0BDCBA64" w14:textId="1A48D1B0" w:rsidR="006A6F08" w:rsidRPr="00DB2BA4" w:rsidRDefault="006A6F08" w:rsidP="00E366DB">
      <w:pPr>
        <w:pStyle w:val="DPDBodyText"/>
      </w:pPr>
      <w:r w:rsidRPr="00DB2BA4">
        <w:t>C</w:t>
      </w:r>
      <w:r w:rsidR="00DB2BA4">
        <w:t>ommunications</w:t>
      </w:r>
      <w:r w:rsidRPr="00DB2BA4">
        <w:t xml:space="preserve"> Specialist</w:t>
      </w:r>
      <w:r w:rsidRPr="00DB2BA4">
        <w:tab/>
      </w:r>
      <w:r w:rsidRPr="00DB2BA4">
        <w:tab/>
        <w:t>PR &amp; Content Account Director</w:t>
      </w:r>
    </w:p>
    <w:p w14:paraId="2DE73538" w14:textId="6F979860" w:rsidR="006A6F08" w:rsidRPr="00DB2BA4" w:rsidRDefault="00000000" w:rsidP="00E366DB">
      <w:pPr>
        <w:pStyle w:val="DPDBodyText"/>
      </w:pPr>
      <w:hyperlink r:id="rId12" w:history="1">
        <w:r w:rsidR="00DB2BA4" w:rsidRPr="00F14A68">
          <w:rPr>
            <w:rStyle w:val="Hyperlink"/>
            <w:rFonts w:asciiTheme="minorHAnsi" w:hAnsiTheme="minorHAnsi" w:cstheme="minorHAnsi"/>
          </w:rPr>
          <w:t>Allison.Averitt@Biocair.com</w:t>
        </w:r>
      </w:hyperlink>
      <w:r w:rsidR="006A6F08" w:rsidRPr="00DB2BA4">
        <w:tab/>
        <w:t xml:space="preserve">             </w:t>
      </w:r>
      <w:hyperlink r:id="rId13" w:history="1">
        <w:r w:rsidR="00F4188F" w:rsidRPr="00BA6DFB">
          <w:rPr>
            <w:rStyle w:val="Hyperlink"/>
          </w:rPr>
          <w:t>katie.ford@anicca.co.uk</w:t>
        </w:r>
      </w:hyperlink>
      <w:r w:rsidR="00F4188F">
        <w:t xml:space="preserve"> </w:t>
      </w:r>
    </w:p>
    <w:p w14:paraId="19F1633D" w14:textId="77777777" w:rsidR="006A6F08" w:rsidRPr="00DB2BA4" w:rsidRDefault="006A6F08" w:rsidP="00906A93">
      <w:pPr>
        <w:rPr>
          <w:rFonts w:asciiTheme="minorHAnsi" w:hAnsiTheme="minorHAnsi" w:cstheme="minorHAnsi"/>
        </w:rPr>
      </w:pPr>
    </w:p>
    <w:p w14:paraId="13AF9EE9" w14:textId="5C78CFFC" w:rsidR="00F65F29" w:rsidRPr="00DB2BA4" w:rsidRDefault="00F65F29" w:rsidP="00906A93">
      <w:pPr>
        <w:rPr>
          <w:rFonts w:asciiTheme="minorHAnsi" w:eastAsia="Arial" w:hAnsiTheme="minorHAnsi" w:cstheme="minorHAnsi"/>
          <w:color w:val="414042" w:themeColor="accent4"/>
        </w:rPr>
      </w:pPr>
    </w:p>
    <w:p w14:paraId="156BE2A3" w14:textId="77777777" w:rsidR="004C0F3D" w:rsidRPr="00DB2BA4" w:rsidRDefault="004C0F3D" w:rsidP="00906A93">
      <w:pPr>
        <w:rPr>
          <w:rFonts w:asciiTheme="minorHAnsi" w:eastAsia="Arial" w:hAnsiTheme="minorHAnsi" w:cstheme="minorHAnsi"/>
          <w:color w:val="414042" w:themeColor="accent4"/>
        </w:rPr>
      </w:pPr>
    </w:p>
    <w:sectPr w:rsidR="004C0F3D" w:rsidRPr="00DB2BA4" w:rsidSect="00DF2513">
      <w:headerReference w:type="even" r:id="rId14"/>
      <w:headerReference w:type="default" r:id="rId15"/>
      <w:footerReference w:type="even" r:id="rId16"/>
      <w:footerReference w:type="default" r:id="rId17"/>
      <w:headerReference w:type="first" r:id="rId18"/>
      <w:footerReference w:type="first" r:id="rId19"/>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BCB6" w14:textId="77777777" w:rsidR="00370695" w:rsidRDefault="00370695" w:rsidP="005F3D73">
      <w:r>
        <w:separator/>
      </w:r>
    </w:p>
    <w:p w14:paraId="198C7374" w14:textId="77777777" w:rsidR="00370695" w:rsidRDefault="00370695" w:rsidP="005F3D73"/>
    <w:p w14:paraId="3C35DABE" w14:textId="77777777" w:rsidR="00370695" w:rsidRDefault="00370695" w:rsidP="005F3D73"/>
  </w:endnote>
  <w:endnote w:type="continuationSeparator" w:id="0">
    <w:p w14:paraId="4B0113A9" w14:textId="77777777" w:rsidR="00370695" w:rsidRDefault="00370695" w:rsidP="005F3D73">
      <w:r>
        <w:continuationSeparator/>
      </w:r>
    </w:p>
    <w:p w14:paraId="035C259F" w14:textId="77777777" w:rsidR="00370695" w:rsidRDefault="00370695" w:rsidP="005F3D73"/>
    <w:p w14:paraId="011BF578" w14:textId="77777777" w:rsidR="00370695" w:rsidRDefault="00370695" w:rsidP="005F3D73"/>
  </w:endnote>
  <w:endnote w:type="continuationNotice" w:id="1">
    <w:p w14:paraId="51652FD0" w14:textId="77777777" w:rsidR="00370695" w:rsidRDefault="00370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uto Sans DPD PPT">
    <w:panose1 w:val="020B0604020202020204"/>
    <w:charset w:val="00"/>
    <w:family w:val="auto"/>
    <w:pitch w:val="variable"/>
    <w:sig w:usb0="A00000AF" w:usb1="5000207B" w:usb2="00000000" w:usb3="00000000" w:csb0="00000093" w:csb1="00000000"/>
  </w:font>
  <w:font w:name="ArialMT">
    <w:altName w:val="Arial"/>
    <w:panose1 w:val="020B0604020202020204"/>
    <w:charset w:val="4D"/>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sz w:val="32"/>
        <w:szCs w:val="32"/>
      </w:rPr>
      <w:drawing>
        <wp:anchor distT="0" distB="0" distL="114300" distR="114300" simplePos="0" relativeHeight="251665409"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rPr>
      <w:fldChar w:fldCharType="begin"/>
    </w:r>
    <w:r w:rsidR="004C0F3D">
      <w:rPr>
        <w:b/>
        <w:bCs/>
      </w:rPr>
      <w:instrText xml:space="preserve"> PAGE  \* Arabic  \* MERGEFORMAT </w:instrText>
    </w:r>
    <w:r w:rsidR="004C0F3D">
      <w:rPr>
        <w:b/>
        <w:bCs/>
      </w:rPr>
      <w:fldChar w:fldCharType="separate"/>
    </w:r>
    <w:r w:rsidR="004C0F3D">
      <w:rPr>
        <w:b/>
        <w:bCs/>
        <w:noProof/>
      </w:rPr>
      <w:t>1</w:t>
    </w:r>
    <w:r w:rsidR="004C0F3D">
      <w:rPr>
        <w:b/>
        <w:bCs/>
      </w:rPr>
      <w:fldChar w:fldCharType="end"/>
    </w:r>
    <w:r w:rsidR="004C0F3D">
      <w:t xml:space="preserve"> of </w:t>
    </w:r>
    <w:r w:rsidR="004C0F3D">
      <w:rPr>
        <w:b/>
        <w:bCs/>
      </w:rPr>
      <w:fldChar w:fldCharType="begin"/>
    </w:r>
    <w:r w:rsidR="004C0F3D">
      <w:rPr>
        <w:b/>
        <w:bCs/>
      </w:rPr>
      <w:instrText xml:space="preserve"> NUMPAGES  \* Arabic  \* MERGEFORMAT </w:instrText>
    </w:r>
    <w:r w:rsidR="004C0F3D">
      <w:rPr>
        <w:b/>
        <w:bCs/>
      </w:rPr>
      <w:fldChar w:fldCharType="separate"/>
    </w:r>
    <w:r w:rsidR="004C0F3D">
      <w:rPr>
        <w:b/>
        <w:bCs/>
        <w:noProof/>
      </w:rPr>
      <w:t>2</w:t>
    </w:r>
    <w:r w:rsidR="004C0F3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sz w:val="32"/>
        <w:szCs w:val="32"/>
      </w:rPr>
      <w:drawing>
        <wp:anchor distT="0" distB="0" distL="114300" distR="114300" simplePos="0" relativeHeight="251660289"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DF14" w14:textId="77777777" w:rsidR="00370695" w:rsidRDefault="00370695" w:rsidP="005F3D73">
      <w:r>
        <w:separator/>
      </w:r>
    </w:p>
    <w:p w14:paraId="30E6CA46" w14:textId="77777777" w:rsidR="00370695" w:rsidRDefault="00370695" w:rsidP="005F3D73"/>
    <w:p w14:paraId="20EAA843" w14:textId="77777777" w:rsidR="00370695" w:rsidRDefault="00370695" w:rsidP="005F3D73"/>
  </w:footnote>
  <w:footnote w:type="continuationSeparator" w:id="0">
    <w:p w14:paraId="43F30FDF" w14:textId="77777777" w:rsidR="00370695" w:rsidRDefault="00370695" w:rsidP="005F3D73">
      <w:r>
        <w:continuationSeparator/>
      </w:r>
    </w:p>
    <w:p w14:paraId="5EB4A3EB" w14:textId="77777777" w:rsidR="00370695" w:rsidRDefault="00370695" w:rsidP="005F3D73"/>
    <w:p w14:paraId="53015A44" w14:textId="77777777" w:rsidR="00370695" w:rsidRDefault="00370695" w:rsidP="005F3D73"/>
  </w:footnote>
  <w:footnote w:type="continuationNotice" w:id="1">
    <w:p w14:paraId="32B9CCEC" w14:textId="77777777" w:rsidR="00370695" w:rsidRDefault="00370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sz w:val="32"/>
        <w:szCs w:val="32"/>
      </w:rPr>
      <w:drawing>
        <wp:anchor distT="0" distB="0" distL="114300" distR="114300" simplePos="0" relativeHeight="251664385"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intelligence2.xml><?xml version="1.0" encoding="utf-8"?>
<int2:intelligence xmlns:int2="http://schemas.microsoft.com/office/intelligence/2020/intelligence" xmlns:oel="http://schemas.microsoft.com/office/2019/extlst">
  <int2:observations>
    <int2:textHash int2:hashCode="ikv7aKp8sFzr7r" int2:id="bF0xQg0I">
      <int2:state int2:value="Rejected" int2:type="AugLoop_Text_Critique"/>
    </int2:textHash>
    <int2:bookmark int2:bookmarkName="_Int_swRTq5At" int2:invalidationBookmarkName="" int2:hashCode="vTQ6RQCQf2J9Ff" int2:id="z0l0LQqV">
      <int2:state int2:value="Rejected" int2:type="AugLoop_Text_Critique"/>
    </int2:bookmark>
    <int2:bookmark int2:bookmarkName="_Int_LsaeOFuq" int2:invalidationBookmarkName="" int2:hashCode="vTQ6RQCQf2J9Ff" int2:id="bcR49x4j">
      <int2:state int2:value="Rejected" int2:type="AugLoop_Text_Critique"/>
    </int2:bookmark>
    <int2:bookmark int2:bookmarkName="_Int_mLyDI8kn" int2:invalidationBookmarkName="" int2:hashCode="vTQ6RQCQf2J9Ff" int2:id="S5wVNLch">
      <int2:state int2:value="Rejected" int2:type="AugLoop_Text_Critique"/>
    </int2:bookmark>
    <int2:bookmark int2:bookmarkName="_Int_bpVpEusQ" int2:invalidationBookmarkName="" int2:hashCode="vTQ6RQCQf2J9Ff" int2:id="uUtu5H4a">
      <int2:state int2:value="Rejected" int2:type="AugLoop_Text_Critique"/>
    </int2:bookmark>
    <int2:bookmark int2:bookmarkName="_Int_x3YJ2qBE" int2:invalidationBookmarkName="" int2:hashCode="vTQ6RQCQf2J9Ff" int2:id="r83yyyPE">
      <int2:state int2:value="Rejected" int2:type="AugLoop_Text_Critique"/>
    </int2:bookmark>
    <int2:bookmark int2:bookmarkName="_Int_aR8TnKYF" int2:invalidationBookmarkName="" int2:hashCode="vTQ6RQCQf2J9Ff" int2:id="9LEK5QN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2"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3"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4"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2"/>
  </w:num>
  <w:num w:numId="3" w16cid:durableId="1004670387">
    <w:abstractNumId w:val="4"/>
  </w:num>
  <w:num w:numId="4" w16cid:durableId="1679506065">
    <w:abstractNumId w:val="6"/>
  </w:num>
  <w:num w:numId="5" w16cid:durableId="1391998387">
    <w:abstractNumId w:val="5"/>
  </w:num>
  <w:num w:numId="6" w16cid:durableId="1519154677">
    <w:abstractNumId w:val="3"/>
  </w:num>
  <w:num w:numId="7" w16cid:durableId="3331455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1649C"/>
    <w:rsid w:val="00025EF4"/>
    <w:rsid w:val="0004072E"/>
    <w:rsid w:val="000460CB"/>
    <w:rsid w:val="00046807"/>
    <w:rsid w:val="0006790F"/>
    <w:rsid w:val="00070672"/>
    <w:rsid w:val="000850AB"/>
    <w:rsid w:val="00090C23"/>
    <w:rsid w:val="000A0822"/>
    <w:rsid w:val="000A17EC"/>
    <w:rsid w:val="000B3CDE"/>
    <w:rsid w:val="000C0C5B"/>
    <w:rsid w:val="000E5A3C"/>
    <w:rsid w:val="000E7B93"/>
    <w:rsid w:val="00101657"/>
    <w:rsid w:val="00105F97"/>
    <w:rsid w:val="001150FF"/>
    <w:rsid w:val="001250CF"/>
    <w:rsid w:val="00130F74"/>
    <w:rsid w:val="0013350E"/>
    <w:rsid w:val="00144ED0"/>
    <w:rsid w:val="001451FD"/>
    <w:rsid w:val="00146558"/>
    <w:rsid w:val="00146E78"/>
    <w:rsid w:val="001475D5"/>
    <w:rsid w:val="00151B9A"/>
    <w:rsid w:val="00155194"/>
    <w:rsid w:val="00163E90"/>
    <w:rsid w:val="0017702B"/>
    <w:rsid w:val="00184EF6"/>
    <w:rsid w:val="00190033"/>
    <w:rsid w:val="001A4943"/>
    <w:rsid w:val="001B48FB"/>
    <w:rsid w:val="001C1336"/>
    <w:rsid w:val="001C63F7"/>
    <w:rsid w:val="001C74FF"/>
    <w:rsid w:val="001D31C8"/>
    <w:rsid w:val="001E121B"/>
    <w:rsid w:val="001E1864"/>
    <w:rsid w:val="001E4ADF"/>
    <w:rsid w:val="001E6BD9"/>
    <w:rsid w:val="001F7DB3"/>
    <w:rsid w:val="00202204"/>
    <w:rsid w:val="00204045"/>
    <w:rsid w:val="0022055A"/>
    <w:rsid w:val="00222F98"/>
    <w:rsid w:val="002349F3"/>
    <w:rsid w:val="0024367B"/>
    <w:rsid w:val="002472B9"/>
    <w:rsid w:val="002549C9"/>
    <w:rsid w:val="00256E55"/>
    <w:rsid w:val="00257915"/>
    <w:rsid w:val="002613D0"/>
    <w:rsid w:val="00267D81"/>
    <w:rsid w:val="00271016"/>
    <w:rsid w:val="002738D5"/>
    <w:rsid w:val="0028519F"/>
    <w:rsid w:val="002869B9"/>
    <w:rsid w:val="002917AE"/>
    <w:rsid w:val="002B6A78"/>
    <w:rsid w:val="002C3D79"/>
    <w:rsid w:val="002D7BBA"/>
    <w:rsid w:val="002E161B"/>
    <w:rsid w:val="002E4DBB"/>
    <w:rsid w:val="002E57BD"/>
    <w:rsid w:val="002E5AE6"/>
    <w:rsid w:val="002F2CE1"/>
    <w:rsid w:val="00301477"/>
    <w:rsid w:val="003019E4"/>
    <w:rsid w:val="00322C8B"/>
    <w:rsid w:val="00350A47"/>
    <w:rsid w:val="00361B66"/>
    <w:rsid w:val="00363B0A"/>
    <w:rsid w:val="00370695"/>
    <w:rsid w:val="00371288"/>
    <w:rsid w:val="00372BEA"/>
    <w:rsid w:val="00373640"/>
    <w:rsid w:val="003757C6"/>
    <w:rsid w:val="003832EB"/>
    <w:rsid w:val="0038637E"/>
    <w:rsid w:val="00397A52"/>
    <w:rsid w:val="003A48CA"/>
    <w:rsid w:val="003A55A6"/>
    <w:rsid w:val="003A6106"/>
    <w:rsid w:val="003A6833"/>
    <w:rsid w:val="003B45E1"/>
    <w:rsid w:val="003C6751"/>
    <w:rsid w:val="003D29EE"/>
    <w:rsid w:val="003E4081"/>
    <w:rsid w:val="003E7387"/>
    <w:rsid w:val="003F0F8F"/>
    <w:rsid w:val="003F30D6"/>
    <w:rsid w:val="003F5A3F"/>
    <w:rsid w:val="003F5D2E"/>
    <w:rsid w:val="00405E46"/>
    <w:rsid w:val="00405F50"/>
    <w:rsid w:val="00422E7C"/>
    <w:rsid w:val="00446096"/>
    <w:rsid w:val="00446233"/>
    <w:rsid w:val="0045543E"/>
    <w:rsid w:val="00480327"/>
    <w:rsid w:val="004838D4"/>
    <w:rsid w:val="0049047E"/>
    <w:rsid w:val="00490D49"/>
    <w:rsid w:val="00491990"/>
    <w:rsid w:val="004A1F66"/>
    <w:rsid w:val="004A4C63"/>
    <w:rsid w:val="004B068C"/>
    <w:rsid w:val="004B7C4D"/>
    <w:rsid w:val="004C0F3D"/>
    <w:rsid w:val="004C15BD"/>
    <w:rsid w:val="004D6C3F"/>
    <w:rsid w:val="004E13F0"/>
    <w:rsid w:val="004E2FB4"/>
    <w:rsid w:val="004E3CA5"/>
    <w:rsid w:val="004E69D0"/>
    <w:rsid w:val="004F1B12"/>
    <w:rsid w:val="005169E3"/>
    <w:rsid w:val="005259F2"/>
    <w:rsid w:val="00526A91"/>
    <w:rsid w:val="0054608F"/>
    <w:rsid w:val="00547421"/>
    <w:rsid w:val="00566F9F"/>
    <w:rsid w:val="005726BF"/>
    <w:rsid w:val="00580A0F"/>
    <w:rsid w:val="00593216"/>
    <w:rsid w:val="005A0D5A"/>
    <w:rsid w:val="005B0F29"/>
    <w:rsid w:val="005C7A24"/>
    <w:rsid w:val="005D1503"/>
    <w:rsid w:val="005E0098"/>
    <w:rsid w:val="005F3D73"/>
    <w:rsid w:val="00600411"/>
    <w:rsid w:val="006017B5"/>
    <w:rsid w:val="006022B5"/>
    <w:rsid w:val="00606B64"/>
    <w:rsid w:val="00610B42"/>
    <w:rsid w:val="006148C8"/>
    <w:rsid w:val="00615190"/>
    <w:rsid w:val="00617679"/>
    <w:rsid w:val="00627B6C"/>
    <w:rsid w:val="00633A09"/>
    <w:rsid w:val="00634275"/>
    <w:rsid w:val="00634292"/>
    <w:rsid w:val="00635B40"/>
    <w:rsid w:val="006371D4"/>
    <w:rsid w:val="006406E5"/>
    <w:rsid w:val="00662442"/>
    <w:rsid w:val="00673A59"/>
    <w:rsid w:val="00680C38"/>
    <w:rsid w:val="00690523"/>
    <w:rsid w:val="006A1DDD"/>
    <w:rsid w:val="006A6F08"/>
    <w:rsid w:val="006B10E5"/>
    <w:rsid w:val="006B65B7"/>
    <w:rsid w:val="006C0F36"/>
    <w:rsid w:val="006C26CC"/>
    <w:rsid w:val="006D3EBE"/>
    <w:rsid w:val="006E5897"/>
    <w:rsid w:val="006F0AC3"/>
    <w:rsid w:val="006F26C4"/>
    <w:rsid w:val="006F2B0C"/>
    <w:rsid w:val="006F50D7"/>
    <w:rsid w:val="006F5762"/>
    <w:rsid w:val="0071095C"/>
    <w:rsid w:val="00710AC8"/>
    <w:rsid w:val="007230F2"/>
    <w:rsid w:val="00742DA5"/>
    <w:rsid w:val="0075034B"/>
    <w:rsid w:val="00754A27"/>
    <w:rsid w:val="00767AC0"/>
    <w:rsid w:val="00770950"/>
    <w:rsid w:val="0078477B"/>
    <w:rsid w:val="007867C6"/>
    <w:rsid w:val="0078FEA4"/>
    <w:rsid w:val="007B11E8"/>
    <w:rsid w:val="007B1DB8"/>
    <w:rsid w:val="007C18DE"/>
    <w:rsid w:val="007C2AC7"/>
    <w:rsid w:val="007C4A6D"/>
    <w:rsid w:val="007D0F0E"/>
    <w:rsid w:val="007E05A9"/>
    <w:rsid w:val="007E5699"/>
    <w:rsid w:val="00811643"/>
    <w:rsid w:val="008157F3"/>
    <w:rsid w:val="00822EB4"/>
    <w:rsid w:val="00825B7E"/>
    <w:rsid w:val="00827275"/>
    <w:rsid w:val="008369ED"/>
    <w:rsid w:val="008414F7"/>
    <w:rsid w:val="0084399B"/>
    <w:rsid w:val="00850237"/>
    <w:rsid w:val="00853C9A"/>
    <w:rsid w:val="00867D2E"/>
    <w:rsid w:val="00875A95"/>
    <w:rsid w:val="008B38B3"/>
    <w:rsid w:val="008B526A"/>
    <w:rsid w:val="008C43D3"/>
    <w:rsid w:val="008F4F9F"/>
    <w:rsid w:val="008F67C6"/>
    <w:rsid w:val="008F7DBB"/>
    <w:rsid w:val="0090070D"/>
    <w:rsid w:val="00906A93"/>
    <w:rsid w:val="00913C5C"/>
    <w:rsid w:val="009160EC"/>
    <w:rsid w:val="009240C1"/>
    <w:rsid w:val="00926321"/>
    <w:rsid w:val="00931474"/>
    <w:rsid w:val="009652A9"/>
    <w:rsid w:val="00973A81"/>
    <w:rsid w:val="00973F69"/>
    <w:rsid w:val="0097432E"/>
    <w:rsid w:val="009752E4"/>
    <w:rsid w:val="00983FD5"/>
    <w:rsid w:val="00996653"/>
    <w:rsid w:val="009C41FC"/>
    <w:rsid w:val="009D01EB"/>
    <w:rsid w:val="009D1811"/>
    <w:rsid w:val="009E4DC7"/>
    <w:rsid w:val="009E71A7"/>
    <w:rsid w:val="009F09CF"/>
    <w:rsid w:val="009F0CAE"/>
    <w:rsid w:val="009F2390"/>
    <w:rsid w:val="009F75E3"/>
    <w:rsid w:val="009F77FA"/>
    <w:rsid w:val="00A0068C"/>
    <w:rsid w:val="00A13F61"/>
    <w:rsid w:val="00A31050"/>
    <w:rsid w:val="00A35329"/>
    <w:rsid w:val="00A6384E"/>
    <w:rsid w:val="00A74142"/>
    <w:rsid w:val="00A82231"/>
    <w:rsid w:val="00A84ED3"/>
    <w:rsid w:val="00AA3CA4"/>
    <w:rsid w:val="00AA5A25"/>
    <w:rsid w:val="00AB1B07"/>
    <w:rsid w:val="00AC7C62"/>
    <w:rsid w:val="00AD2B2A"/>
    <w:rsid w:val="00AD2C35"/>
    <w:rsid w:val="00AD3D2E"/>
    <w:rsid w:val="00AE2FF9"/>
    <w:rsid w:val="00AE35ED"/>
    <w:rsid w:val="00AF1712"/>
    <w:rsid w:val="00B07728"/>
    <w:rsid w:val="00B15840"/>
    <w:rsid w:val="00B359F1"/>
    <w:rsid w:val="00B66E58"/>
    <w:rsid w:val="00B8181F"/>
    <w:rsid w:val="00B8475C"/>
    <w:rsid w:val="00BA2261"/>
    <w:rsid w:val="00BC3690"/>
    <w:rsid w:val="00BC5B74"/>
    <w:rsid w:val="00BD4F91"/>
    <w:rsid w:val="00BF0C05"/>
    <w:rsid w:val="00BF147E"/>
    <w:rsid w:val="00BF2464"/>
    <w:rsid w:val="00BF52F3"/>
    <w:rsid w:val="00C003D2"/>
    <w:rsid w:val="00C00808"/>
    <w:rsid w:val="00C0570F"/>
    <w:rsid w:val="00C063DA"/>
    <w:rsid w:val="00C12494"/>
    <w:rsid w:val="00C12869"/>
    <w:rsid w:val="00C1426C"/>
    <w:rsid w:val="00C20DD0"/>
    <w:rsid w:val="00C2165E"/>
    <w:rsid w:val="00C217AB"/>
    <w:rsid w:val="00C24010"/>
    <w:rsid w:val="00C2484E"/>
    <w:rsid w:val="00C32ED4"/>
    <w:rsid w:val="00C342F9"/>
    <w:rsid w:val="00C43BA1"/>
    <w:rsid w:val="00C61916"/>
    <w:rsid w:val="00C70DBD"/>
    <w:rsid w:val="00C71BFB"/>
    <w:rsid w:val="00C826B6"/>
    <w:rsid w:val="00C83B15"/>
    <w:rsid w:val="00C83BB5"/>
    <w:rsid w:val="00C95552"/>
    <w:rsid w:val="00C96528"/>
    <w:rsid w:val="00CA19A5"/>
    <w:rsid w:val="00CA5A00"/>
    <w:rsid w:val="00CA77EA"/>
    <w:rsid w:val="00CB24BD"/>
    <w:rsid w:val="00CC5E78"/>
    <w:rsid w:val="00CD0600"/>
    <w:rsid w:val="00CD2819"/>
    <w:rsid w:val="00CD4D56"/>
    <w:rsid w:val="00CE786F"/>
    <w:rsid w:val="00CF491B"/>
    <w:rsid w:val="00CF5B0C"/>
    <w:rsid w:val="00CF6A43"/>
    <w:rsid w:val="00D0090F"/>
    <w:rsid w:val="00D00CEC"/>
    <w:rsid w:val="00D256D8"/>
    <w:rsid w:val="00D25D8C"/>
    <w:rsid w:val="00D37828"/>
    <w:rsid w:val="00D439F5"/>
    <w:rsid w:val="00D50944"/>
    <w:rsid w:val="00D551A6"/>
    <w:rsid w:val="00D62199"/>
    <w:rsid w:val="00D6355C"/>
    <w:rsid w:val="00D6670C"/>
    <w:rsid w:val="00D75187"/>
    <w:rsid w:val="00D97491"/>
    <w:rsid w:val="00DB2BA4"/>
    <w:rsid w:val="00DD0E4B"/>
    <w:rsid w:val="00DD1A9C"/>
    <w:rsid w:val="00DD435F"/>
    <w:rsid w:val="00DD7B60"/>
    <w:rsid w:val="00DF2513"/>
    <w:rsid w:val="00DF5296"/>
    <w:rsid w:val="00E04F2D"/>
    <w:rsid w:val="00E213DB"/>
    <w:rsid w:val="00E366DB"/>
    <w:rsid w:val="00E41C12"/>
    <w:rsid w:val="00E5279F"/>
    <w:rsid w:val="00E62F06"/>
    <w:rsid w:val="00E6396D"/>
    <w:rsid w:val="00E667B7"/>
    <w:rsid w:val="00E80538"/>
    <w:rsid w:val="00E91711"/>
    <w:rsid w:val="00EA2BA9"/>
    <w:rsid w:val="00EB020B"/>
    <w:rsid w:val="00EB3726"/>
    <w:rsid w:val="00EB3A36"/>
    <w:rsid w:val="00EB3CEE"/>
    <w:rsid w:val="00EB5BDC"/>
    <w:rsid w:val="00EC1236"/>
    <w:rsid w:val="00EC1EAC"/>
    <w:rsid w:val="00EC5951"/>
    <w:rsid w:val="00EC6180"/>
    <w:rsid w:val="00ED6146"/>
    <w:rsid w:val="00EE45CB"/>
    <w:rsid w:val="00EE7B5D"/>
    <w:rsid w:val="00EF3544"/>
    <w:rsid w:val="00F017FD"/>
    <w:rsid w:val="00F15392"/>
    <w:rsid w:val="00F2461A"/>
    <w:rsid w:val="00F24E16"/>
    <w:rsid w:val="00F263E8"/>
    <w:rsid w:val="00F342B6"/>
    <w:rsid w:val="00F4188F"/>
    <w:rsid w:val="00F41BCA"/>
    <w:rsid w:val="00F530D4"/>
    <w:rsid w:val="00F54B34"/>
    <w:rsid w:val="00F565F4"/>
    <w:rsid w:val="00F65F29"/>
    <w:rsid w:val="00F73704"/>
    <w:rsid w:val="00F740CC"/>
    <w:rsid w:val="00F77853"/>
    <w:rsid w:val="00F813E7"/>
    <w:rsid w:val="00F91A32"/>
    <w:rsid w:val="00FA58C9"/>
    <w:rsid w:val="00FB0C17"/>
    <w:rsid w:val="00FB4491"/>
    <w:rsid w:val="00FB648D"/>
    <w:rsid w:val="00FB7D94"/>
    <w:rsid w:val="00FC2FEB"/>
    <w:rsid w:val="00FC727E"/>
    <w:rsid w:val="00FC7549"/>
    <w:rsid w:val="00FD1B91"/>
    <w:rsid w:val="00FF2C86"/>
    <w:rsid w:val="00FF7C1D"/>
    <w:rsid w:val="014B1990"/>
    <w:rsid w:val="015AECE3"/>
    <w:rsid w:val="0268F59C"/>
    <w:rsid w:val="042B42A8"/>
    <w:rsid w:val="047943B5"/>
    <w:rsid w:val="05CC02F1"/>
    <w:rsid w:val="0721C058"/>
    <w:rsid w:val="07630701"/>
    <w:rsid w:val="0768BC92"/>
    <w:rsid w:val="080CCDF1"/>
    <w:rsid w:val="0813EAB3"/>
    <w:rsid w:val="082DEC38"/>
    <w:rsid w:val="0A193C9E"/>
    <w:rsid w:val="0A26A7B3"/>
    <w:rsid w:val="0C2F8E0E"/>
    <w:rsid w:val="0C8BF1C3"/>
    <w:rsid w:val="0D1DB9BA"/>
    <w:rsid w:val="0E18F27B"/>
    <w:rsid w:val="0EA95C47"/>
    <w:rsid w:val="103312F3"/>
    <w:rsid w:val="1047A205"/>
    <w:rsid w:val="107A2505"/>
    <w:rsid w:val="10C2CE11"/>
    <w:rsid w:val="10F22CD7"/>
    <w:rsid w:val="11EC5801"/>
    <w:rsid w:val="12FBD8A8"/>
    <w:rsid w:val="132AE7FC"/>
    <w:rsid w:val="1442CCD6"/>
    <w:rsid w:val="146B63F0"/>
    <w:rsid w:val="1526D25E"/>
    <w:rsid w:val="154B35B2"/>
    <w:rsid w:val="15DE9D37"/>
    <w:rsid w:val="1627CDA7"/>
    <w:rsid w:val="17405573"/>
    <w:rsid w:val="179C5DDC"/>
    <w:rsid w:val="17D158D6"/>
    <w:rsid w:val="188D3203"/>
    <w:rsid w:val="18958CF8"/>
    <w:rsid w:val="18B4EE96"/>
    <w:rsid w:val="19382E3D"/>
    <w:rsid w:val="197EAEEE"/>
    <w:rsid w:val="1B5C5D02"/>
    <w:rsid w:val="1B66BE61"/>
    <w:rsid w:val="1B9E9BE4"/>
    <w:rsid w:val="1BBF7381"/>
    <w:rsid w:val="1D451755"/>
    <w:rsid w:val="1DAD4B15"/>
    <w:rsid w:val="1E01E3DB"/>
    <w:rsid w:val="1E6FCE0A"/>
    <w:rsid w:val="1ED60BB7"/>
    <w:rsid w:val="1EF3C867"/>
    <w:rsid w:val="1F6CCDD5"/>
    <w:rsid w:val="206B9732"/>
    <w:rsid w:val="2092E4A4"/>
    <w:rsid w:val="21268C0B"/>
    <w:rsid w:val="2241846E"/>
    <w:rsid w:val="227B25D4"/>
    <w:rsid w:val="23857996"/>
    <w:rsid w:val="243735C3"/>
    <w:rsid w:val="2460DE26"/>
    <w:rsid w:val="2537FDFA"/>
    <w:rsid w:val="254CB393"/>
    <w:rsid w:val="255D0231"/>
    <w:rsid w:val="25FCAE87"/>
    <w:rsid w:val="2607E234"/>
    <w:rsid w:val="266C7E64"/>
    <w:rsid w:val="26E662A4"/>
    <w:rsid w:val="272FDC49"/>
    <w:rsid w:val="27D4E08F"/>
    <w:rsid w:val="282C190C"/>
    <w:rsid w:val="28B0C5F2"/>
    <w:rsid w:val="2C334F04"/>
    <w:rsid w:val="2CFC01C1"/>
    <w:rsid w:val="2D66495B"/>
    <w:rsid w:val="2D92C52B"/>
    <w:rsid w:val="2E07C06C"/>
    <w:rsid w:val="2EB07C4F"/>
    <w:rsid w:val="2ED77F9A"/>
    <w:rsid w:val="2FBE9DB0"/>
    <w:rsid w:val="2FC6CA17"/>
    <w:rsid w:val="2FD8A9FD"/>
    <w:rsid w:val="3161D17A"/>
    <w:rsid w:val="3405DE91"/>
    <w:rsid w:val="34CBE8E3"/>
    <w:rsid w:val="3616C3EC"/>
    <w:rsid w:val="3720D80F"/>
    <w:rsid w:val="3787CEBF"/>
    <w:rsid w:val="379A2F68"/>
    <w:rsid w:val="3825FE90"/>
    <w:rsid w:val="39E5FABD"/>
    <w:rsid w:val="3B076A95"/>
    <w:rsid w:val="3B47627F"/>
    <w:rsid w:val="3B8D80E7"/>
    <w:rsid w:val="3C26814E"/>
    <w:rsid w:val="3C2F4704"/>
    <w:rsid w:val="3C4C294B"/>
    <w:rsid w:val="3C73FBC7"/>
    <w:rsid w:val="4005E3F3"/>
    <w:rsid w:val="40217009"/>
    <w:rsid w:val="402835DF"/>
    <w:rsid w:val="419CB809"/>
    <w:rsid w:val="432CC874"/>
    <w:rsid w:val="44876091"/>
    <w:rsid w:val="455ABC32"/>
    <w:rsid w:val="46541CEB"/>
    <w:rsid w:val="46AEE545"/>
    <w:rsid w:val="480AE701"/>
    <w:rsid w:val="4810F5D8"/>
    <w:rsid w:val="488AE8CC"/>
    <w:rsid w:val="48AF6126"/>
    <w:rsid w:val="48CB9FDE"/>
    <w:rsid w:val="48CFE4B7"/>
    <w:rsid w:val="498783AF"/>
    <w:rsid w:val="499E7FBF"/>
    <w:rsid w:val="4B278E0E"/>
    <w:rsid w:val="4B48969A"/>
    <w:rsid w:val="4B7BB0A2"/>
    <w:rsid w:val="4C05B37A"/>
    <w:rsid w:val="4C89DC2E"/>
    <w:rsid w:val="4CE378FE"/>
    <w:rsid w:val="4DEBD474"/>
    <w:rsid w:val="4E6EADD7"/>
    <w:rsid w:val="4E71F0E2"/>
    <w:rsid w:val="4EA08611"/>
    <w:rsid w:val="4EB35164"/>
    <w:rsid w:val="4F62C698"/>
    <w:rsid w:val="4FEDAFF0"/>
    <w:rsid w:val="4FF61170"/>
    <w:rsid w:val="500A7E38"/>
    <w:rsid w:val="50B0BC0C"/>
    <w:rsid w:val="51B838A8"/>
    <w:rsid w:val="51FA382D"/>
    <w:rsid w:val="52A69EC6"/>
    <w:rsid w:val="5456F376"/>
    <w:rsid w:val="5477FB85"/>
    <w:rsid w:val="54BCAE4F"/>
    <w:rsid w:val="54D12684"/>
    <w:rsid w:val="5673A174"/>
    <w:rsid w:val="56763E07"/>
    <w:rsid w:val="584851B9"/>
    <w:rsid w:val="585C38A4"/>
    <w:rsid w:val="59BC910F"/>
    <w:rsid w:val="5A9D8499"/>
    <w:rsid w:val="5BDFBA80"/>
    <w:rsid w:val="5CEEEA04"/>
    <w:rsid w:val="5D2B79BE"/>
    <w:rsid w:val="5D574187"/>
    <w:rsid w:val="5DB4BEAF"/>
    <w:rsid w:val="5DE5ED7E"/>
    <w:rsid w:val="5F48F016"/>
    <w:rsid w:val="61743CF9"/>
    <w:rsid w:val="63CC849C"/>
    <w:rsid w:val="64250095"/>
    <w:rsid w:val="64719DD1"/>
    <w:rsid w:val="64E155FC"/>
    <w:rsid w:val="64FF43B6"/>
    <w:rsid w:val="652B9F84"/>
    <w:rsid w:val="67068480"/>
    <w:rsid w:val="6727D36E"/>
    <w:rsid w:val="6741D6B8"/>
    <w:rsid w:val="6744E421"/>
    <w:rsid w:val="68249B2B"/>
    <w:rsid w:val="68CBEDAE"/>
    <w:rsid w:val="690B7BB7"/>
    <w:rsid w:val="6917D802"/>
    <w:rsid w:val="69468A41"/>
    <w:rsid w:val="6A3A5211"/>
    <w:rsid w:val="6AF969E9"/>
    <w:rsid w:val="6B8435C1"/>
    <w:rsid w:val="6BD09DCB"/>
    <w:rsid w:val="6CF3333F"/>
    <w:rsid w:val="6D8E69D2"/>
    <w:rsid w:val="6DB1183C"/>
    <w:rsid w:val="6E053AD0"/>
    <w:rsid w:val="70ACCE0C"/>
    <w:rsid w:val="72C6A7CE"/>
    <w:rsid w:val="73F50036"/>
    <w:rsid w:val="74280918"/>
    <w:rsid w:val="7462782F"/>
    <w:rsid w:val="75AEDAE0"/>
    <w:rsid w:val="75E580BD"/>
    <w:rsid w:val="75F00216"/>
    <w:rsid w:val="773391AE"/>
    <w:rsid w:val="788D2804"/>
    <w:rsid w:val="78A86F6F"/>
    <w:rsid w:val="7907FC00"/>
    <w:rsid w:val="7927A2D8"/>
    <w:rsid w:val="79AB2C2F"/>
    <w:rsid w:val="79F11ACF"/>
    <w:rsid w:val="7A95DA38"/>
    <w:rsid w:val="7AD1B9B3"/>
    <w:rsid w:val="7D38804D"/>
    <w:rsid w:val="7E3F2E0C"/>
    <w:rsid w:val="7F910EAA"/>
    <w:rsid w:val="7FA52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Pluto Sans DPD PPT" w:hAnsi="Pluto Sans DPD PP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u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paragraph" w:customStyle="1" w:styleId="paragraph">
    <w:name w:val="paragraph"/>
    <w:basedOn w:val="Normal"/>
    <w:rsid w:val="00F4188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air.com/" TargetMode="External"/><Relationship Id="rId13" Type="http://schemas.openxmlformats.org/officeDocument/2006/relationships/hyperlink" Target="mailto:katie.ford@anicc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lison.Averitt@Biocai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cai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ocair.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iocair.com/en-gb/press-centre/biocair-develops-dedicated-team-for-cell-and-gene-therapy-logistics" TargetMode="Externa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Ebony Hutt</cp:lastModifiedBy>
  <cp:revision>2</cp:revision>
  <dcterms:created xsi:type="dcterms:W3CDTF">2023-09-26T11:44:00Z</dcterms:created>
  <dcterms:modified xsi:type="dcterms:W3CDTF">2023-09-26T11:44:00Z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ies>
</file>